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0"/>
      </w:pPr>
    </w:p>
    <w:p>
      <w:pPr>
        <w:jc w:val="center"/>
      </w:pPr>
      <w:r>
        <w:rPr>
          <w:b/>
          <w:bCs/>
          <w:color w:val="1F3864"/>
          <w:sz w:val="24"/>
          <w:szCs w:val="24"/>
        </w:rPr>
        <w:t xml:space="preserve">TOG-WAJAALE CITY ADMINISTRATION</w:t>
      </w:r>
    </w:p>
    <w:p>
      <w:pPr>
        <w:spacing w:after="400"/>
        <w:jc w:val="center"/>
      </w:pPr>
      <w:r>
        <w:rPr>
          <w:i/>
          <w:iCs/>
          <w:color w:val="595959"/>
          <w:sz w:val="20"/>
          <w:szCs w:val="20"/>
        </w:rPr>
        <w:t xml:space="preserve">Maamulka Magaalada Tog-Wajaale · Somali Regional State, Ethiopia</w:t>
      </w:r>
    </w:p>
    <w:p>
      <w:pPr>
        <w:spacing w:after="100"/>
        <w:jc w:val="center"/>
      </w:pPr>
      <w:r>
        <w:rPr>
          <w:b/>
          <w:bCs/>
          <w:color w:val="000000"/>
          <w:sz w:val="36"/>
          <w:szCs w:val="36"/>
        </w:rPr>
        <w:t xml:space="preserve">CONSOLIDATED INVESTMENT &amp; DELIVERY BRIEF</w:t>
      </w:r>
    </w:p>
    <w:p>
      <w:pPr>
        <w:spacing w:after="300"/>
        <w:jc w:val="center"/>
      </w:pPr>
      <w:r>
        <w:rPr>
          <w:b/>
          <w:bCs/>
          <w:color w:val="C00000"/>
          <w:sz w:val="24"/>
          <w:szCs w:val="24"/>
        </w:rPr>
        <w:t xml:space="preserve">— REVISED DRAFT, VERSION 4 (RECONCILIATION CLOSE-OUT) —</w:t>
      </w:r>
    </w:p>
    <w:p>
      <w:pPr>
        <w:spacing w:after="500"/>
        <w:jc w:val="center"/>
      </w:pPr>
      <w:r>
        <w:rPr>
          <w:i/>
          <w:iCs/>
          <w:sz w:val="20"/>
          <w:szCs w:val="20"/>
        </w:rPr>
        <w:t xml:space="preserve">Resolving the two outstanding items carried forward from Versions 1–3: the road/corridor project's conflicting cost, scope and readiness figures, and the portfolio's dual 01–06 numbering scheme.</w:t>
      </w:r>
    </w:p>
    <w:p>
      <w:pPr>
        <w:spacing w:after="100"/>
        <w:jc w:val="center"/>
      </w:pPr>
      <w:r>
        <w:rPr>
          <w:b/>
          <w:bCs/>
          <w:sz w:val="20"/>
          <w:szCs w:val="20"/>
        </w:rPr>
        <w:t xml:space="preserve">Prepared for the Third East Africa City Corridor (EACC) Dialogue</w:t>
      </w:r>
    </w:p>
    <w:p>
      <w:pPr>
        <w:spacing w:after="60"/>
        <w:jc w:val="center"/>
      </w:pPr>
      <w:r>
        <w:rPr>
          <w:color w:val="595959"/>
          <w:sz w:val="18"/>
          <w:szCs w:val="18"/>
        </w:rPr>
        <w:t xml:space="preserve">Original brief: 25 August 2026 · Hargeisa</w:t>
      </w:r>
    </w:p>
    <w:p>
      <w:pPr>
        <w:spacing w:after="60"/>
        <w:jc w:val="center"/>
      </w:pPr>
      <w:r>
        <w:rPr>
          <w:color w:val="595959"/>
          <w:sz w:val="18"/>
          <w:szCs w:val="18"/>
        </w:rPr>
        <w:t xml:space="preserve">Revisions: 26 Aug (v1) · 27 Aug (v2) · 28 Aug (v3)</w:t>
      </w:r>
    </w:p>
    <w:p>
      <w:pPr>
        <w:spacing w:after="400"/>
        <w:jc w:val="center"/>
      </w:pPr>
      <w:r>
        <w:rPr>
          <w:b/>
          <w:bCs/>
          <w:sz w:val="18"/>
          <w:szCs w:val="18"/>
        </w:rPr>
        <w:t xml:space="preserve">This revision (v4): 29 August 2026 — closes out the road-project decision and standardizes rank/priority labeling</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BF8F00" w:sz="8"/>
              <w:left w:val="single" w:color="BF8F00" w:sz="8"/>
              <w:bottom w:val="single" w:color="BF8F00" w:sz="8"/>
              <w:right w:val="single" w:color="BF8F00" w:sz="8"/>
            </w:tcBorders>
            <w:shd w:fill="FDF2D0" w:val="clear"/>
            <w:tcMar>
              <w:top w:type="dxa" w:w="150"/>
              <w:left w:type="dxa" w:w="200"/>
              <w:bottom w:type="dxa" w:w="150"/>
              <w:right w:type="dxa" w:w="200"/>
            </w:tcMar>
          </w:tcPr>
          <w:p>
            <w:pPr>
              <w:spacing w:after="100"/>
            </w:pPr>
            <w:r>
              <w:rPr>
                <w:b/>
                <w:bCs/>
                <w:color w:val="7F5A00"/>
                <w:sz w:val="20"/>
                <w:szCs w:val="20"/>
              </w:rPr>
              <w:t xml:space="preserve">UPDATE NOTE (v4):</w:t>
            </w:r>
          </w:p>
          <w:p>
            <w:pPr>
              <w:spacing w:after="0"/>
            </w:pPr>
            <w:r>
              <w:rPr>
                <w:i/>
                <w:iCs/>
                <w:sz w:val="19"/>
                <w:szCs w:val="19"/>
              </w:rPr>
              <w:t xml:space="preserve">This version does two things: (1) formally adopts the USD 40.0M / 20 km / Stage 1 profile as the single authoritative version of the road/corridor project, superseding the Master Report's Document 7 (BRT/USD 50M) annex, on the strength of the evidence set out in Section 3; and (2) replaces every shared “01–06” numbering with two explicitly labeled, separately numbered fields — Delivery Priority and Investment Rank — wherever both orderings of the six projects appear together. See Sections 3 and 4.</w:t>
            </w:r>
          </w:p>
        </w:tc>
      </w:tr>
    </w:tbl>
    <w:p>
      <w:pPr>
        <w:spacing w:after="0" w:before="400"/>
        <w:jc w:val="center"/>
      </w:pPr>
      <w:r>
        <w:rPr>
          <w:b/>
          <w:bCs/>
          <w:color w:val="C00000"/>
          <w:sz w:val="18"/>
          <w:szCs w:val="18"/>
        </w:rPr>
        <w:t xml:space="preserve">INTERNAL BRIEFING DOCUMENT — TWCA USE — REVISED DRAFT (v4)</w:t>
      </w:r>
    </w:p>
    <w:p>
      <w:pPr>
        <w:pageBreakBefore/>
      </w:pPr>
      <w:r>
        <w:br/>
        <w:t xml:space="preserve"/>
      </w:r>
    </w:p>
    <w:p>
      <w:pPr>
        <w:pStyle w:val="Heading1"/>
        <w:spacing w:after="150" w:before="300"/>
      </w:pPr>
      <w:r>
        <w:rPr>
          <w:b/>
          <w:bCs/>
          <w:color w:val="1F3864"/>
          <w:sz w:val="28"/>
          <w:szCs w:val="28"/>
        </w:rPr>
        <w:t xml:space="preserve">Executive Summary</w:t>
      </w:r>
    </w:p>
    <w:p>
      <w:pPr>
        <w:spacing w:after="120"/>
      </w:pPr>
      <w:r>
        <w:t xml:space="preserve">Versions 1–3 of this brief cross-checked the Urban Expansion Plan, the EACC investment posters, the Corridor Delivery Framework and the TOG-WAJAALE EACC Priority Investment Project Master Report, and left two items open pending a TWCA decision. This version closes both.</w:t>
      </w:r>
    </w:p>
    <w:p>
      <w:pPr>
        <w:pStyle w:val="Heading2"/>
        <w:spacing w:after="100" w:before="200"/>
      </w:pPr>
      <w:r>
        <w:rPr>
          <w:b/>
          <w:bCs/>
          <w:color w:val="1F3864"/>
          <w:sz w:val="24"/>
          <w:szCs w:val="24"/>
        </w:rPr>
        <w:t xml:space="preserve">1. Road / Corridor project — now resolved</w:t>
      </w:r>
    </w:p>
    <w:p>
      <w:pPr>
        <w:spacing w:after="120"/>
      </w:pPr>
      <w:r>
        <w:t xml:space="preserve">The Master Report contained two conflicting profiles for this project: a 20 km / USD 40M / Stage 1 (Concept) version in Chapter 3.3 / §4.9, and a 10 km BRT / USD 50M / Stage 2 (Pre-feasibility) version in a Document 7 annex. Version 3 found that the actual 2026-edition investment poster set in circulation for the Dialogue already matches the USD 40M / Ch. 3.3 version point for point. This version treats that as sufficient basis to adopt the USD 40M / 20 km / Stage 1 profile as final and authoritative for this brief and for all Dialogue materials, and to mark the Document 7 annex as superseded. See Section 3.</w:t>
      </w:r>
    </w:p>
    <w:p>
      <w:pPr>
        <w:pStyle w:val="Heading2"/>
        <w:spacing w:after="100" w:before="200"/>
      </w:pPr>
      <w:r>
        <w:rPr>
          <w:b/>
          <w:bCs/>
          <w:color w:val="1F3864"/>
          <w:sz w:val="24"/>
          <w:szCs w:val="24"/>
        </w:rPr>
        <w:t xml:space="preserve">2. Investment Rank vs. Delivery Priority — now labeled separately</w:t>
      </w:r>
    </w:p>
    <w:p>
      <w:pPr>
        <w:spacing w:after="120"/>
      </w:pPr>
      <w:r>
        <w:t xml:space="preserve">The Portfolio Tracker's Consistency Flags tab noted that the six projects are ranked twice — once by investment size (Trade Zone = 01) and once by delivery/implementation sequence (Urban Expansion = 01) — and that reusing “01–06” for both is likely to confuse readers even though neither ranking is wrong. This version fixes that by giving the two orderings distinct, always-paired labels — “Delivery Priority” and “Investment Rank” — everywhere the portfolio is listed as a set. See Section 4.</w:t>
      </w:r>
    </w:p>
    <w:p>
      <w:pPr>
        <w:spacing w:after="120"/>
      </w:pPr>
      <w:r>
        <w:rPr>
          <w:i/>
          <w:iCs/>
          <w:color w:val="595959"/>
        </w:rPr>
        <w:t xml:space="preserve">One item remains open and is carried forward unresolved (it was not part of this fix): the Master Report's own internal contradiction on overall portfolio readiness — §6.4.1 states “Stage 2 (Pre-Feasibility)” while §11.3 states “Stage 1 (Concept)” for all six projects. See Section 5.</w:t>
      </w:r>
    </w:p>
    <w:p>
      <w:pPr>
        <w:pStyle w:val="Heading1"/>
        <w:spacing w:after="150" w:before="300"/>
      </w:pPr>
      <w:r>
        <w:rPr>
          <w:b/>
          <w:bCs/>
          <w:color w:val="1F3864"/>
          <w:sz w:val="28"/>
          <w:szCs w:val="28"/>
        </w:rPr>
        <w:t xml:space="preserve">3. Road / Corridor Project — Reconciliation Closed</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538135" w:sz="8"/>
              <w:left w:val="single" w:color="538135" w:sz="8"/>
              <w:bottom w:val="single" w:color="538135" w:sz="8"/>
              <w:right w:val="single" w:color="538135" w:sz="8"/>
            </w:tcBorders>
            <w:shd w:fill="E2EFDA" w:val="clear"/>
            <w:tcMar>
              <w:top w:type="dxa" w:w="150"/>
              <w:left w:type="dxa" w:w="200"/>
              <w:bottom w:type="dxa" w:w="150"/>
              <w:right w:type="dxa" w:w="200"/>
            </w:tcMar>
          </w:tcPr>
          <w:p>
            <w:pPr>
              <w:spacing w:after="60"/>
            </w:pPr>
            <w:r>
              <w:rPr>
                <w:b/>
                <w:bCs/>
                <w:color w:val="1E5A2E"/>
                <w:sz w:val="20"/>
                <w:szCs w:val="20"/>
              </w:rPr>
              <w:t xml:space="preserve">RESOLVED (v4): USD 40.0M / 20 km / Stage 1 adopted as authoritative</w:t>
            </w:r>
          </w:p>
          <w:p>
            <w:pPr>
              <w:spacing w:after="0"/>
            </w:pPr>
            <w:r>
              <w:rPr>
                <w:i/>
                <w:iCs/>
                <w:sz w:val="19"/>
                <w:szCs w:val="19"/>
              </w:rPr>
              <w:t xml:space="preserve">The Document 7 (BRT / USD 50M / Stage 2) annex is treated as superseded for Dialogue purposes. TWCA should still complete formal sign-off of the 26 August Decision Memo so the Master Report itself is corrected — this brief resolves the practical conflict, but the source document (the Master Report) still contains both versions until it is edited.</w:t>
            </w:r>
          </w:p>
        </w:tc>
      </w:tr>
    </w:tbl>
    <w:p>
      <w:pPr>
        <w:spacing w:after="120" w:before="200"/>
      </w:pPr>
    </w:p>
    <w:p>
      <w:pPr>
        <w:pStyle w:val="Heading2"/>
        <w:spacing w:after="100" w:before="200"/>
      </w:pPr>
      <w:r>
        <w:rPr>
          <w:b/>
          <w:bCs/>
          <w:color w:val="1F3864"/>
          <w:sz w:val="24"/>
          <w:szCs w:val="24"/>
        </w:rPr>
        <w:t xml:space="preserve">Basis for resolution</w:t>
      </w:r>
    </w:p>
    <w:p>
      <w:pPr>
        <w:pStyle w:val="ListParagraph"/>
        <w:numPr>
          <w:ilvl w:val="0"/>
          <w:numId w:val="1"/>
        </w:numPr>
        <w:spacing w:after="80"/>
      </w:pPr>
      <w:r>
        <w:t xml:space="preserve">Chapter 3.3 and §4.9 (the project's own dedicated profile) both use the 20 km / USD 40M / Stage 1 figures.</w:t>
      </w:r>
    </w:p>
    <w:p>
      <w:pPr>
        <w:pStyle w:val="ListParagraph"/>
        <w:numPr>
          <w:ilvl w:val="0"/>
          <w:numId w:val="1"/>
        </w:numPr>
        <w:spacing w:after="80"/>
      </w:pPr>
      <w:r>
        <w:t xml:space="preserve">The Master Report's executive summary and portfolio ranking table also use the USD 40M figures, not the Document 7 annex's USD 50M figures.</w:t>
      </w:r>
    </w:p>
    <w:p>
      <w:pPr>
        <w:pStyle w:val="ListParagraph"/>
        <w:numPr>
          <w:ilvl w:val="0"/>
          <w:numId w:val="1"/>
        </w:numPr>
        <w:spacing w:after="80"/>
      </w:pPr>
      <w:r>
        <w:t xml:space="preserve">The TWCA EACC Project Portfolio poster set (2026 edition) — the material actually being used for the Third EACC Dialogue — shows the road project (card 03) as 20 km, USD 40M, Stage 1, concessional loan/grant, matching Ch. 3.3 / §4.9 in every field.</w:t>
      </w:r>
    </w:p>
    <w:p>
      <w:pPr>
        <w:pStyle w:val="ListParagraph"/>
        <w:numPr>
          <w:ilvl w:val="0"/>
          <w:numId w:val="1"/>
        </w:numPr>
        <w:spacing w:after="80"/>
      </w:pPr>
      <w:r>
        <w:t xml:space="preserve">The Document 7 annex is the only place in any reviewed document where the BRT / USD 50M / Stage 2 profile appears.</w:t>
      </w:r>
    </w:p>
    <w:p>
      <w:pPr>
        <w:pStyle w:val="Heading2"/>
        <w:spacing w:after="100" w:before="200"/>
      </w:pPr>
      <w:r>
        <w:rPr>
          <w:b/>
          <w:bCs/>
          <w:color w:val="1F3864"/>
          <w:sz w:val="24"/>
          <w:szCs w:val="24"/>
        </w:rPr>
        <w:t xml:space="preserve">Final reconciled project profile</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c>
          <w:tcPr>
            <w:tcW w:type="dxa" w:w="2800"/>
            <w:shd w:fill="F2F2F2" w:val="clear"/>
            <w:tcMar>
              <w:top w:type="dxa" w:w="80"/>
              <w:left w:type="dxa" w:w="100"/>
              <w:bottom w:type="dxa" w:w="80"/>
              <w:right w:type="dxa" w:w="100"/>
            </w:tcMar>
          </w:tcPr>
          <w:p>
            <w:pPr>
              <w:jc w:val="left"/>
            </w:pPr>
            <w:r>
              <w:rPr>
                <w:b/>
                <w:bCs/>
                <w:color w:val="000000"/>
                <w:sz w:val="20"/>
                <w:szCs w:val="20"/>
              </w:rPr>
              <w:t xml:space="preserve">Scope</w:t>
            </w:r>
          </w:p>
        </w:tc>
        <w:tc>
          <w:tcPr>
            <w:tcW w:type="dxa" w:w="6550"/>
            <w:tcMar>
              <w:top w:type="dxa" w:w="80"/>
              <w:left w:type="dxa" w:w="100"/>
              <w:bottom w:type="dxa" w:w="80"/>
              <w:right w:type="dxa" w:w="100"/>
            </w:tcMar>
          </w:tcPr>
          <w:p>
            <w:pPr>
              <w:jc w:val="left"/>
            </w:pPr>
            <w:r>
              <w:rPr>
                <w:b w:val="false"/>
                <w:bCs w:val="false"/>
                <w:color w:val="000000"/>
                <w:sz w:val="20"/>
                <w:szCs w:val="20"/>
              </w:rPr>
              <w:t xml:space="preserve">20 km programme of arterial and corridor road upgrades — drainage, pedestrian facilities, lighting, green buffers</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Sector</w:t>
            </w:r>
          </w:p>
        </w:tc>
        <w:tc>
          <w:tcPr>
            <w:tcW w:type="dxa" w:w="6550"/>
            <w:tcMar>
              <w:top w:type="dxa" w:w="80"/>
              <w:left w:type="dxa" w:w="100"/>
              <w:bottom w:type="dxa" w:w="80"/>
              <w:right w:type="dxa" w:w="100"/>
            </w:tcMar>
          </w:tcPr>
          <w:p>
            <w:pPr>
              <w:jc w:val="left"/>
            </w:pPr>
            <w:r>
              <w:rPr>
                <w:b w:val="false"/>
                <w:bCs w:val="false"/>
                <w:color w:val="000000"/>
                <w:sz w:val="20"/>
                <w:szCs w:val="20"/>
              </w:rPr>
              <w:t xml:space="preserve">Transport Infrastructure</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Total project cost</w:t>
            </w:r>
          </w:p>
        </w:tc>
        <w:tc>
          <w:tcPr>
            <w:tcW w:type="dxa" w:w="6550"/>
            <w:tcMar>
              <w:top w:type="dxa" w:w="80"/>
              <w:left w:type="dxa" w:w="100"/>
              <w:bottom w:type="dxa" w:w="80"/>
              <w:right w:type="dxa" w:w="100"/>
            </w:tcMar>
          </w:tcPr>
          <w:p>
            <w:pPr>
              <w:jc w:val="left"/>
            </w:pPr>
            <w:r>
              <w:rPr>
                <w:b w:val="false"/>
                <w:bCs w:val="false"/>
                <w:color w:val="000000"/>
                <w:sz w:val="20"/>
                <w:szCs w:val="20"/>
              </w:rPr>
              <w:t xml:space="preserve">USD 40.0M (≈ Birr 6,401,276,000)</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Financing sought / secured</w:t>
            </w:r>
          </w:p>
        </w:tc>
        <w:tc>
          <w:tcPr>
            <w:tcW w:type="dxa" w:w="6550"/>
            <w:tcMar>
              <w:top w:type="dxa" w:w="80"/>
              <w:left w:type="dxa" w:w="100"/>
              <w:bottom w:type="dxa" w:w="80"/>
              <w:right w:type="dxa" w:w="100"/>
            </w:tcMar>
          </w:tcPr>
          <w:p>
            <w:pPr>
              <w:jc w:val="left"/>
            </w:pPr>
            <w:r>
              <w:rPr>
                <w:b w:val="false"/>
                <w:bCs w:val="false"/>
                <w:color w:val="000000"/>
                <w:sz w:val="20"/>
                <w:szCs w:val="20"/>
              </w:rPr>
              <w:t xml:space="preserve">USD 40.0M sought; no secured-financing figure appears in the Master Report</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Instrument</w:t>
            </w:r>
          </w:p>
        </w:tc>
        <w:tc>
          <w:tcPr>
            <w:tcW w:type="dxa" w:w="6550"/>
            <w:tcMar>
              <w:top w:type="dxa" w:w="80"/>
              <w:left w:type="dxa" w:w="100"/>
              <w:bottom w:type="dxa" w:w="80"/>
              <w:right w:type="dxa" w:w="100"/>
            </w:tcMar>
          </w:tcPr>
          <w:p>
            <w:pPr>
              <w:jc w:val="left"/>
            </w:pPr>
            <w:r>
              <w:rPr>
                <w:b w:val="false"/>
                <w:bCs w:val="false"/>
                <w:color w:val="000000"/>
                <w:sz w:val="20"/>
                <w:szCs w:val="20"/>
              </w:rPr>
              <w:t xml:space="preserve">Concessional loan / grant</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Funding mix</w:t>
            </w:r>
          </w:p>
        </w:tc>
        <w:tc>
          <w:tcPr>
            <w:tcW w:type="dxa" w:w="6550"/>
            <w:tcMar>
              <w:top w:type="dxa" w:w="80"/>
              <w:left w:type="dxa" w:w="100"/>
              <w:bottom w:type="dxa" w:w="80"/>
              <w:right w:type="dxa" w:w="100"/>
            </w:tcMar>
          </w:tcPr>
          <w:p>
            <w:pPr>
              <w:jc w:val="left"/>
            </w:pPr>
            <w:r>
              <w:rPr>
                <w:b w:val="false"/>
                <w:bCs w:val="false"/>
                <w:color w:val="000000"/>
                <w:sz w:val="20"/>
                <w:szCs w:val="20"/>
              </w:rPr>
              <w:t xml:space="preserve">Public capital budget + donor grant/concessional debt; TWCA own-source revenue supports O&amp;M only, not earmarked as capital</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Delivery structure</w:t>
            </w:r>
          </w:p>
        </w:tc>
        <w:tc>
          <w:tcPr>
            <w:tcW w:type="dxa" w:w="6550"/>
            <w:tcMar>
              <w:top w:type="dxa" w:w="80"/>
              <w:left w:type="dxa" w:w="100"/>
              <w:bottom w:type="dxa" w:w="80"/>
              <w:right w:type="dxa" w:w="100"/>
            </w:tcMar>
          </w:tcPr>
          <w:p>
            <w:pPr>
              <w:jc w:val="left"/>
            </w:pPr>
            <w:r>
              <w:rPr>
                <w:b w:val="false"/>
                <w:bCs w:val="false"/>
                <w:color w:val="000000"/>
                <w:sz w:val="20"/>
                <w:szCs w:val="20"/>
              </w:rPr>
              <w:t xml:space="preserve">Public delivery — TWCA capital works programme</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Revenue source</w:t>
            </w:r>
          </w:p>
        </w:tc>
        <w:tc>
          <w:tcPr>
            <w:tcW w:type="dxa" w:w="6550"/>
            <w:tcMar>
              <w:top w:type="dxa" w:w="80"/>
              <w:left w:type="dxa" w:w="100"/>
              <w:bottom w:type="dxa" w:w="80"/>
              <w:right w:type="dxa" w:w="100"/>
            </w:tcMar>
          </w:tcPr>
          <w:p>
            <w:pPr>
              <w:jc w:val="left"/>
            </w:pPr>
            <w:r>
              <w:rPr>
                <w:b w:val="false"/>
                <w:bCs w:val="false"/>
                <w:color w:val="000000"/>
                <w:sz w:val="20"/>
                <w:szCs w:val="20"/>
              </w:rPr>
              <w:t xml:space="preserve">Municipal budget allocation; potential road-user fees (longer term)</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Implementation period</w:t>
            </w:r>
          </w:p>
        </w:tc>
        <w:tc>
          <w:tcPr>
            <w:tcW w:type="dxa" w:w="6550"/>
            <w:tcMar>
              <w:top w:type="dxa" w:w="80"/>
              <w:left w:type="dxa" w:w="100"/>
              <w:bottom w:type="dxa" w:w="80"/>
              <w:right w:type="dxa" w:w="100"/>
            </w:tcMar>
          </w:tcPr>
          <w:p>
            <w:pPr>
              <w:jc w:val="left"/>
            </w:pPr>
            <w:r>
              <w:rPr>
                <w:b w:val="false"/>
                <w:bCs w:val="false"/>
                <w:color w:val="000000"/>
                <w:sz w:val="20"/>
                <w:szCs w:val="20"/>
              </w:rPr>
              <w:t xml:space="preserve">Not specified in Ch. 3.3 / §4.9. (The superseded BRT annex's 2025–2030 / 60-month timeline does not carry over — it described the retired USD 50M scope.)</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Readiness stage</w:t>
            </w:r>
          </w:p>
        </w:tc>
        <w:tc>
          <w:tcPr>
            <w:tcW w:type="dxa" w:w="6550"/>
            <w:tcMar>
              <w:top w:type="dxa" w:w="80"/>
              <w:left w:type="dxa" w:w="100"/>
              <w:bottom w:type="dxa" w:w="80"/>
              <w:right w:type="dxa" w:w="100"/>
            </w:tcMar>
          </w:tcPr>
          <w:p>
            <w:pPr>
              <w:jc w:val="left"/>
            </w:pPr>
            <w:r>
              <w:rPr>
                <w:b w:val="false"/>
                <w:bCs w:val="false"/>
                <w:color w:val="000000"/>
                <w:sz w:val="20"/>
                <w:szCs w:val="20"/>
              </w:rPr>
              <w:t xml:space="preserve">Stage 1 of 5 — Concept</w:t>
            </w:r>
          </w:p>
        </w:tc>
      </w:tr>
      <w:tr>
        <w:tc>
          <w:tcPr>
            <w:tcW w:type="dxa" w:w="2800"/>
            <w:shd w:fill="F2F2F2" w:val="clear"/>
            <w:tcMar>
              <w:top w:type="dxa" w:w="80"/>
              <w:left w:type="dxa" w:w="100"/>
              <w:bottom w:type="dxa" w:w="80"/>
              <w:right w:type="dxa" w:w="100"/>
            </w:tcMar>
          </w:tcPr>
          <w:p>
            <w:pPr>
              <w:jc w:val="left"/>
            </w:pPr>
            <w:r>
              <w:rPr>
                <w:b/>
                <w:bCs/>
                <w:color w:val="000000"/>
                <w:sz w:val="20"/>
                <w:szCs w:val="20"/>
              </w:rPr>
              <w:t xml:space="preserve">Value created</w:t>
            </w:r>
          </w:p>
        </w:tc>
        <w:tc>
          <w:tcPr>
            <w:tcW w:type="dxa" w:w="6550"/>
            <w:tcMar>
              <w:top w:type="dxa" w:w="80"/>
              <w:left w:type="dxa" w:w="100"/>
              <w:bottom w:type="dxa" w:w="80"/>
              <w:right w:type="dxa" w:w="100"/>
            </w:tcMar>
          </w:tcPr>
          <w:p>
            <w:pPr>
              <w:jc w:val="left"/>
            </w:pPr>
            <w:r>
              <w:rPr>
                <w:b w:val="false"/>
                <w:bCs w:val="false"/>
                <w:color w:val="000000"/>
                <w:sz w:val="20"/>
                <w:szCs w:val="20"/>
              </w:rPr>
              <w:t xml:space="preserve">82,064+ people/businesses served (growing to 554,700 by 2055) · ~900 construction jobs · 30% reduction in travel time · 50% reduction in road accidents · reduced flooding on priority routes</w:t>
            </w:r>
          </w:p>
        </w:tc>
      </w:tr>
    </w:tbl>
    <w:p>
      <w:pPr>
        <w:spacing w:after="0" w:before="150"/>
      </w:pPr>
      <w:r>
        <w:rPr>
          <w:i/>
          <w:iCs/>
          <w:color w:val="595959"/>
          <w:sz w:val="18"/>
          <w:szCs w:val="18"/>
        </w:rPr>
        <w:t xml:space="preserve">Source: Master Report Ch. 3.3 / §4.9; confirmed against the TWCA EACC Project Portfolio poster set, 2026 edition (card 03).</w:t>
      </w:r>
    </w:p>
    <w:p>
      <w:pPr>
        <w:pStyle w:val="Heading1"/>
        <w:spacing w:after="150" w:before="300"/>
      </w:pPr>
      <w:r>
        <w:rPr>
          <w:b/>
          <w:bCs/>
          <w:color w:val="1F3864"/>
          <w:sz w:val="28"/>
          <w:szCs w:val="28"/>
        </w:rPr>
        <w:t xml:space="preserve">4. Delivery Priority vs. Investment Rank — Labeling Fixed</w:t>
      </w:r>
    </w:p>
    <w:p>
      <w:pPr>
        <w:spacing w:after="120"/>
      </w:pPr>
      <w:r>
        <w:t xml:space="preserve">The Portfolio Tracker's Consistency Flags tab (Flag #1) identified that the six priority projects carry two different “01–06” orderings — by delivery/implementation sequence (used in the Portfolio document, the Delivery Framework, and the reordered poster deck) and by investment size (used in the original portfolio ranking table and the poster set's “Investment Rank” field). Both are correct on their own terms; the problem was that reusing plain “01–06” for both invited readers to assume there was one ranking rather than two.</w:t>
      </w:r>
    </w:p>
    <w:p>
      <w:pPr>
        <w:spacing w:after="120"/>
      </w:pPr>
      <w:r>
        <w:rPr>
          <w:b w:val="false"/>
          <w:bCs w:val="false"/>
        </w:rPr>
        <w:t xml:space="preserve">Fix applied: from this version forward, whenever the six projects are listed together, both numbers are shown side by side with explicit column headers — “Delivery Priority” and “Investment Rank (by size)” — rather than a single unlabeled “Priority/Rank” number. The table below is the reference version; the same two-column convention should be applied to the Portfolio document, the poster deck's portfolio-detail slides, and the Tracker's summary sheet.</w:t>
      </w:r>
    </w:p>
    <w:p>
      <w:pPr>
        <w:spacing w:after="150" w:before="150"/>
      </w:pP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1500"/>
        <w:gridCol w:w="4150"/>
        <w:gridCol w:w="1800"/>
        <w:gridCol w:w="1900"/>
      </w:tblGrid>
      <w:tr>
        <w:tc>
          <w:tcPr>
            <w:tcW w:type="dxa" w:w="1500"/>
            <w:shd w:fill="1F3864" w:val="clear"/>
            <w:tcMar>
              <w:top w:type="dxa" w:w="80"/>
              <w:left w:type="dxa" w:w="100"/>
              <w:bottom w:type="dxa" w:w="80"/>
              <w:right w:type="dxa" w:w="100"/>
            </w:tcMar>
          </w:tcPr>
          <w:p>
            <w:pPr>
              <w:jc w:val="left"/>
            </w:pPr>
            <w:r>
              <w:rPr>
                <w:b/>
                <w:bCs/>
                <w:color w:val="FFFFFF"/>
                <w:sz w:val="20"/>
                <w:szCs w:val="20"/>
              </w:rPr>
              <w:t xml:space="preserve">Delivery Priority</w:t>
            </w:r>
          </w:p>
        </w:tc>
        <w:tc>
          <w:tcPr>
            <w:tcW w:type="dxa" w:w="4150"/>
            <w:shd w:fill="1F3864" w:val="clear"/>
            <w:tcMar>
              <w:top w:type="dxa" w:w="80"/>
              <w:left w:type="dxa" w:w="100"/>
              <w:bottom w:type="dxa" w:w="80"/>
              <w:right w:type="dxa" w:w="100"/>
            </w:tcMar>
          </w:tcPr>
          <w:p>
            <w:pPr>
              <w:jc w:val="left"/>
            </w:pPr>
            <w:r>
              <w:rPr>
                <w:b/>
                <w:bCs/>
                <w:color w:val="FFFFFF"/>
                <w:sz w:val="20"/>
                <w:szCs w:val="20"/>
              </w:rPr>
              <w:t xml:space="preserve">Project</w:t>
            </w:r>
          </w:p>
        </w:tc>
        <w:tc>
          <w:tcPr>
            <w:tcW w:type="dxa" w:w="1800"/>
            <w:shd w:fill="1F3864" w:val="clear"/>
            <w:tcMar>
              <w:top w:type="dxa" w:w="80"/>
              <w:left w:type="dxa" w:w="100"/>
              <w:bottom w:type="dxa" w:w="80"/>
              <w:right w:type="dxa" w:w="100"/>
            </w:tcMar>
          </w:tcPr>
          <w:p>
            <w:pPr>
              <w:jc w:val="left"/>
            </w:pPr>
            <w:r>
              <w:rPr>
                <w:b/>
                <w:bCs/>
                <w:color w:val="FFFFFF"/>
                <w:sz w:val="20"/>
                <w:szCs w:val="20"/>
              </w:rPr>
              <w:t xml:space="preserve">Investment Sought</w:t>
            </w:r>
          </w:p>
        </w:tc>
        <w:tc>
          <w:tcPr>
            <w:tcW w:type="dxa" w:w="1900"/>
            <w:shd w:fill="1F3864" w:val="clear"/>
            <w:tcMar>
              <w:top w:type="dxa" w:w="80"/>
              <w:left w:type="dxa" w:w="100"/>
              <w:bottom w:type="dxa" w:w="80"/>
              <w:right w:type="dxa" w:w="100"/>
            </w:tcMar>
          </w:tcPr>
          <w:p>
            <w:pPr>
              <w:jc w:val="left"/>
            </w:pPr>
            <w:r>
              <w:rPr>
                <w:b/>
                <w:bCs/>
                <w:color w:val="FFFFFF"/>
                <w:sz w:val="20"/>
                <w:szCs w:val="20"/>
              </w:rPr>
              <w:t xml:space="preserve">Investment Rank (by size)</w:t>
            </w:r>
          </w:p>
        </w:tc>
      </w:tr>
      <w:tr>
        <w:tc>
          <w:tcPr>
            <w:tcW w:type="dxa" w:w="1500"/>
            <w:shd w:fill="FFFFFF" w:val="clear"/>
            <w:tcMar>
              <w:top w:type="dxa" w:w="80"/>
              <w:left w:type="dxa" w:w="100"/>
              <w:bottom w:type="dxa" w:w="80"/>
              <w:right w:type="dxa" w:w="100"/>
            </w:tcMar>
          </w:tcPr>
          <w:p>
            <w:pPr>
              <w:jc w:val="center"/>
            </w:pPr>
            <w:r>
              <w:rPr>
                <w:b/>
                <w:bCs/>
                <w:color w:val="000000"/>
                <w:sz w:val="20"/>
                <w:szCs w:val="20"/>
              </w:rPr>
              <w:t xml:space="preserve">1</w:t>
            </w:r>
          </w:p>
        </w:tc>
        <w:tc>
          <w:tcPr>
            <w:tcW w:type="dxa" w:w="4150"/>
            <w:shd w:fill="FFFFFF" w:val="clear"/>
            <w:tcMar>
              <w:top w:type="dxa" w:w="80"/>
              <w:left w:type="dxa" w:w="100"/>
              <w:bottom w:type="dxa" w:w="80"/>
              <w:right w:type="dxa" w:w="100"/>
            </w:tcMar>
          </w:tcPr>
          <w:p>
            <w:pPr>
              <w:jc w:val="left"/>
            </w:pPr>
            <w:r>
              <w:rPr>
                <w:b w:val="false"/>
                <w:bCs w:val="false"/>
                <w:color w:val="000000"/>
                <w:sz w:val="20"/>
                <w:szCs w:val="20"/>
              </w:rPr>
              <w:t xml:space="preserve">Planned Urban Expansion Programme</w:t>
            </w:r>
          </w:p>
        </w:tc>
        <w:tc>
          <w:tcPr>
            <w:tcW w:type="dxa" w:w="1800"/>
            <w:shd w:fill="FFFFFF" w:val="clear"/>
            <w:tcMar>
              <w:top w:type="dxa" w:w="80"/>
              <w:left w:type="dxa" w:w="100"/>
              <w:bottom w:type="dxa" w:w="80"/>
              <w:right w:type="dxa" w:w="100"/>
            </w:tcMar>
          </w:tcPr>
          <w:p>
            <w:pPr>
              <w:jc w:val="center"/>
            </w:pPr>
            <w:r>
              <w:rPr>
                <w:b w:val="false"/>
                <w:bCs w:val="false"/>
                <w:color w:val="000000"/>
                <w:sz w:val="20"/>
                <w:szCs w:val="20"/>
              </w:rPr>
              <w:t xml:space="preserve">USD 63.0M</w:t>
            </w:r>
          </w:p>
        </w:tc>
        <w:tc>
          <w:tcPr>
            <w:tcW w:type="dxa" w:w="1900"/>
            <w:shd w:fill="FFFFFF" w:val="clear"/>
            <w:tcMar>
              <w:top w:type="dxa" w:w="80"/>
              <w:left w:type="dxa" w:w="100"/>
              <w:bottom w:type="dxa" w:w="80"/>
              <w:right w:type="dxa" w:w="100"/>
            </w:tcMar>
          </w:tcPr>
          <w:p>
            <w:pPr>
              <w:jc w:val="center"/>
            </w:pPr>
            <w:r>
              <w:rPr>
                <w:b w:val="false"/>
                <w:bCs w:val="false"/>
                <w:color w:val="000000"/>
                <w:sz w:val="20"/>
                <w:szCs w:val="20"/>
              </w:rPr>
              <w:t xml:space="preserve">2</w:t>
            </w:r>
          </w:p>
        </w:tc>
      </w:tr>
      <w:tr>
        <w:tc>
          <w:tcPr>
            <w:tcW w:type="dxa" w:w="1500"/>
            <w:shd w:fill="F2F2F2" w:val="clear"/>
            <w:tcMar>
              <w:top w:type="dxa" w:w="80"/>
              <w:left w:type="dxa" w:w="100"/>
              <w:bottom w:type="dxa" w:w="80"/>
              <w:right w:type="dxa" w:w="100"/>
            </w:tcMar>
          </w:tcPr>
          <w:p>
            <w:pPr>
              <w:jc w:val="center"/>
            </w:pPr>
            <w:r>
              <w:rPr>
                <w:b/>
                <w:bCs/>
                <w:color w:val="000000"/>
                <w:sz w:val="20"/>
                <w:szCs w:val="20"/>
              </w:rPr>
              <w:t xml:space="preserve">2</w:t>
            </w:r>
          </w:p>
        </w:tc>
        <w:tc>
          <w:tcPr>
            <w:tcW w:type="dxa" w:w="4150"/>
            <w:shd w:fill="F2F2F2" w:val="clear"/>
            <w:tcMar>
              <w:top w:type="dxa" w:w="80"/>
              <w:left w:type="dxa" w:w="100"/>
              <w:bottom w:type="dxa" w:w="80"/>
              <w:right w:type="dxa" w:w="100"/>
            </w:tcMar>
          </w:tcPr>
          <w:p>
            <w:pPr>
              <w:jc w:val="left"/>
            </w:pPr>
            <w:r>
              <w:rPr>
                <w:b w:val="false"/>
                <w:bCs w:val="false"/>
                <w:color w:val="000000"/>
                <w:sz w:val="20"/>
                <w:szCs w:val="20"/>
              </w:rPr>
              <w:t xml:space="preserve">Corridor &amp; Arterial Road Upgrade</w:t>
            </w:r>
          </w:p>
        </w:tc>
        <w:tc>
          <w:tcPr>
            <w:tcW w:type="dxa" w:w="1800"/>
            <w:shd w:fill="F2F2F2" w:val="clear"/>
            <w:tcMar>
              <w:top w:type="dxa" w:w="80"/>
              <w:left w:type="dxa" w:w="100"/>
              <w:bottom w:type="dxa" w:w="80"/>
              <w:right w:type="dxa" w:w="100"/>
            </w:tcMar>
          </w:tcPr>
          <w:p>
            <w:pPr>
              <w:jc w:val="center"/>
            </w:pPr>
            <w:r>
              <w:rPr>
                <w:b w:val="false"/>
                <w:bCs w:val="false"/>
                <w:color w:val="000000"/>
                <w:sz w:val="20"/>
                <w:szCs w:val="20"/>
              </w:rPr>
              <w:t xml:space="preserve">USD 40.0M</w:t>
            </w:r>
          </w:p>
        </w:tc>
        <w:tc>
          <w:tcPr>
            <w:tcW w:type="dxa" w:w="1900"/>
            <w:shd w:fill="F2F2F2" w:val="clear"/>
            <w:tcMar>
              <w:top w:type="dxa" w:w="80"/>
              <w:left w:type="dxa" w:w="100"/>
              <w:bottom w:type="dxa" w:w="80"/>
              <w:right w:type="dxa" w:w="100"/>
            </w:tcMar>
          </w:tcPr>
          <w:p>
            <w:pPr>
              <w:jc w:val="center"/>
            </w:pPr>
            <w:r>
              <w:rPr>
                <w:b w:val="false"/>
                <w:bCs w:val="false"/>
                <w:color w:val="000000"/>
                <w:sz w:val="20"/>
                <w:szCs w:val="20"/>
              </w:rPr>
              <w:t xml:space="preserve">3</w:t>
            </w:r>
          </w:p>
        </w:tc>
      </w:tr>
      <w:tr>
        <w:tc>
          <w:tcPr>
            <w:tcW w:type="dxa" w:w="1500"/>
            <w:shd w:fill="FFFFFF" w:val="clear"/>
            <w:tcMar>
              <w:top w:type="dxa" w:w="80"/>
              <w:left w:type="dxa" w:w="100"/>
              <w:bottom w:type="dxa" w:w="80"/>
              <w:right w:type="dxa" w:w="100"/>
            </w:tcMar>
          </w:tcPr>
          <w:p>
            <w:pPr>
              <w:jc w:val="center"/>
            </w:pPr>
            <w:r>
              <w:rPr>
                <w:b/>
                <w:bCs/>
                <w:color w:val="000000"/>
                <w:sz w:val="20"/>
                <w:szCs w:val="20"/>
              </w:rPr>
              <w:t xml:space="preserve">3</w:t>
            </w:r>
          </w:p>
        </w:tc>
        <w:tc>
          <w:tcPr>
            <w:tcW w:type="dxa" w:w="4150"/>
            <w:shd w:fill="FFFFFF" w:val="clear"/>
            <w:tcMar>
              <w:top w:type="dxa" w:w="80"/>
              <w:left w:type="dxa" w:w="100"/>
              <w:bottom w:type="dxa" w:w="80"/>
              <w:right w:type="dxa" w:w="100"/>
            </w:tcMar>
          </w:tcPr>
          <w:p>
            <w:pPr>
              <w:jc w:val="left"/>
            </w:pPr>
            <w:r>
              <w:rPr>
                <w:b w:val="false"/>
                <w:bCs w:val="false"/>
                <w:color w:val="000000"/>
                <w:sz w:val="20"/>
                <w:szCs w:val="20"/>
              </w:rPr>
              <w:t xml:space="preserve">Inland Special Trade Zone &amp; Logistics Hub</w:t>
            </w:r>
          </w:p>
        </w:tc>
        <w:tc>
          <w:tcPr>
            <w:tcW w:type="dxa" w:w="1800"/>
            <w:shd w:fill="FFFFFF" w:val="clear"/>
            <w:tcMar>
              <w:top w:type="dxa" w:w="80"/>
              <w:left w:type="dxa" w:w="100"/>
              <w:bottom w:type="dxa" w:w="80"/>
              <w:right w:type="dxa" w:w="100"/>
            </w:tcMar>
          </w:tcPr>
          <w:p>
            <w:pPr>
              <w:jc w:val="center"/>
            </w:pPr>
            <w:r>
              <w:rPr>
                <w:b w:val="false"/>
                <w:bCs w:val="false"/>
                <w:color w:val="000000"/>
                <w:sz w:val="20"/>
                <w:szCs w:val="20"/>
              </w:rPr>
              <w:t xml:space="preserve">USD 250.0M</w:t>
            </w:r>
          </w:p>
        </w:tc>
        <w:tc>
          <w:tcPr>
            <w:tcW w:type="dxa" w:w="1900"/>
            <w:shd w:fill="FFFFFF" w:val="clear"/>
            <w:tcMar>
              <w:top w:type="dxa" w:w="80"/>
              <w:left w:type="dxa" w:w="100"/>
              <w:bottom w:type="dxa" w:w="80"/>
              <w:right w:type="dxa" w:w="100"/>
            </w:tcMar>
          </w:tcPr>
          <w:p>
            <w:pPr>
              <w:jc w:val="center"/>
            </w:pPr>
            <w:r>
              <w:rPr>
                <w:b w:val="false"/>
                <w:bCs w:val="false"/>
                <w:color w:val="000000"/>
                <w:sz w:val="20"/>
                <w:szCs w:val="20"/>
              </w:rPr>
              <w:t xml:space="preserve">1</w:t>
            </w:r>
          </w:p>
        </w:tc>
      </w:tr>
      <w:tr>
        <w:tc>
          <w:tcPr>
            <w:tcW w:type="dxa" w:w="1500"/>
            <w:shd w:fill="F2F2F2" w:val="clear"/>
            <w:tcMar>
              <w:top w:type="dxa" w:w="80"/>
              <w:left w:type="dxa" w:w="100"/>
              <w:bottom w:type="dxa" w:w="80"/>
              <w:right w:type="dxa" w:w="100"/>
            </w:tcMar>
          </w:tcPr>
          <w:p>
            <w:pPr>
              <w:jc w:val="center"/>
            </w:pPr>
            <w:r>
              <w:rPr>
                <w:b/>
                <w:bCs/>
                <w:color w:val="000000"/>
                <w:sz w:val="20"/>
                <w:szCs w:val="20"/>
              </w:rPr>
              <w:t xml:space="preserve">4</w:t>
            </w:r>
          </w:p>
        </w:tc>
        <w:tc>
          <w:tcPr>
            <w:tcW w:type="dxa" w:w="4150"/>
            <w:shd w:fill="F2F2F2" w:val="clear"/>
            <w:tcMar>
              <w:top w:type="dxa" w:w="80"/>
              <w:left w:type="dxa" w:w="100"/>
              <w:bottom w:type="dxa" w:w="80"/>
              <w:right w:type="dxa" w:w="100"/>
            </w:tcMar>
          </w:tcPr>
          <w:p>
            <w:pPr>
              <w:jc w:val="left"/>
            </w:pPr>
            <w:r>
              <w:rPr>
                <w:b w:val="false"/>
                <w:bCs w:val="false"/>
                <w:color w:val="000000"/>
                <w:sz w:val="20"/>
                <w:szCs w:val="20"/>
              </w:rPr>
              <w:t xml:space="preserve">Solid Waste Management System</w:t>
            </w:r>
          </w:p>
        </w:tc>
        <w:tc>
          <w:tcPr>
            <w:tcW w:type="dxa" w:w="1800"/>
            <w:shd w:fill="F2F2F2" w:val="clear"/>
            <w:tcMar>
              <w:top w:type="dxa" w:w="80"/>
              <w:left w:type="dxa" w:w="100"/>
              <w:bottom w:type="dxa" w:w="80"/>
              <w:right w:type="dxa" w:w="100"/>
            </w:tcMar>
          </w:tcPr>
          <w:p>
            <w:pPr>
              <w:jc w:val="center"/>
            </w:pPr>
            <w:r>
              <w:rPr>
                <w:b w:val="false"/>
                <w:bCs w:val="false"/>
                <w:color w:val="000000"/>
                <w:sz w:val="20"/>
                <w:szCs w:val="20"/>
              </w:rPr>
              <w:t xml:space="preserve">USD 10.0M</w:t>
            </w:r>
          </w:p>
        </w:tc>
        <w:tc>
          <w:tcPr>
            <w:tcW w:type="dxa" w:w="1900"/>
            <w:shd w:fill="F2F2F2" w:val="clear"/>
            <w:tcMar>
              <w:top w:type="dxa" w:w="80"/>
              <w:left w:type="dxa" w:w="100"/>
              <w:bottom w:type="dxa" w:w="80"/>
              <w:right w:type="dxa" w:w="100"/>
            </w:tcMar>
          </w:tcPr>
          <w:p>
            <w:pPr>
              <w:jc w:val="center"/>
            </w:pPr>
            <w:r>
              <w:rPr>
                <w:b w:val="false"/>
                <w:bCs w:val="false"/>
                <w:color w:val="000000"/>
                <w:sz w:val="20"/>
                <w:szCs w:val="20"/>
              </w:rPr>
              <w:t xml:space="preserve">4 (tied)</w:t>
            </w:r>
          </w:p>
        </w:tc>
      </w:tr>
      <w:tr>
        <w:tc>
          <w:tcPr>
            <w:tcW w:type="dxa" w:w="1500"/>
            <w:shd w:fill="FFFFFF" w:val="clear"/>
            <w:tcMar>
              <w:top w:type="dxa" w:w="80"/>
              <w:left w:type="dxa" w:w="100"/>
              <w:bottom w:type="dxa" w:w="80"/>
              <w:right w:type="dxa" w:w="100"/>
            </w:tcMar>
          </w:tcPr>
          <w:p>
            <w:pPr>
              <w:jc w:val="center"/>
            </w:pPr>
            <w:r>
              <w:rPr>
                <w:b/>
                <w:bCs/>
                <w:color w:val="000000"/>
                <w:sz w:val="20"/>
                <w:szCs w:val="20"/>
              </w:rPr>
              <w:t xml:space="preserve">5</w:t>
            </w:r>
          </w:p>
        </w:tc>
        <w:tc>
          <w:tcPr>
            <w:tcW w:type="dxa" w:w="4150"/>
            <w:shd w:fill="FFFFFF" w:val="clear"/>
            <w:tcMar>
              <w:top w:type="dxa" w:w="80"/>
              <w:left w:type="dxa" w:w="100"/>
              <w:bottom w:type="dxa" w:w="80"/>
              <w:right w:type="dxa" w:w="100"/>
            </w:tcMar>
          </w:tcPr>
          <w:p>
            <w:pPr>
              <w:jc w:val="left"/>
            </w:pPr>
            <w:r>
              <w:rPr>
                <w:b w:val="false"/>
                <w:bCs w:val="false"/>
                <w:color w:val="000000"/>
                <w:sz w:val="20"/>
                <w:szCs w:val="20"/>
              </w:rPr>
              <w:t xml:space="preserve">Youth Skills, Enterprise &amp; Migration Centre</w:t>
            </w:r>
          </w:p>
        </w:tc>
        <w:tc>
          <w:tcPr>
            <w:tcW w:type="dxa" w:w="1800"/>
            <w:shd w:fill="FFFFFF" w:val="clear"/>
            <w:tcMar>
              <w:top w:type="dxa" w:w="80"/>
              <w:left w:type="dxa" w:w="100"/>
              <w:bottom w:type="dxa" w:w="80"/>
              <w:right w:type="dxa" w:w="100"/>
            </w:tcMar>
          </w:tcPr>
          <w:p>
            <w:pPr>
              <w:jc w:val="center"/>
            </w:pPr>
            <w:r>
              <w:rPr>
                <w:b w:val="false"/>
                <w:bCs w:val="false"/>
                <w:color w:val="000000"/>
                <w:sz w:val="20"/>
                <w:szCs w:val="20"/>
              </w:rPr>
              <w:t xml:space="preserve">USD 10.0M</w:t>
            </w:r>
          </w:p>
        </w:tc>
        <w:tc>
          <w:tcPr>
            <w:tcW w:type="dxa" w:w="1900"/>
            <w:shd w:fill="FFFFFF" w:val="clear"/>
            <w:tcMar>
              <w:top w:type="dxa" w:w="80"/>
              <w:left w:type="dxa" w:w="100"/>
              <w:bottom w:type="dxa" w:w="80"/>
              <w:right w:type="dxa" w:w="100"/>
            </w:tcMar>
          </w:tcPr>
          <w:p>
            <w:pPr>
              <w:jc w:val="center"/>
            </w:pPr>
            <w:r>
              <w:rPr>
                <w:b w:val="false"/>
                <w:bCs w:val="false"/>
                <w:color w:val="000000"/>
                <w:sz w:val="20"/>
                <w:szCs w:val="20"/>
              </w:rPr>
              <w:t xml:space="preserve">4 (tied)</w:t>
            </w:r>
          </w:p>
        </w:tc>
      </w:tr>
      <w:tr>
        <w:tc>
          <w:tcPr>
            <w:tcW w:type="dxa" w:w="1500"/>
            <w:shd w:fill="F2F2F2" w:val="clear"/>
            <w:tcMar>
              <w:top w:type="dxa" w:w="80"/>
              <w:left w:type="dxa" w:w="100"/>
              <w:bottom w:type="dxa" w:w="80"/>
              <w:right w:type="dxa" w:w="100"/>
            </w:tcMar>
          </w:tcPr>
          <w:p>
            <w:pPr>
              <w:jc w:val="center"/>
            </w:pPr>
            <w:r>
              <w:rPr>
                <w:b/>
                <w:bCs/>
                <w:color w:val="000000"/>
                <w:sz w:val="20"/>
                <w:szCs w:val="20"/>
              </w:rPr>
              <w:t xml:space="preserve">6</w:t>
            </w:r>
          </w:p>
        </w:tc>
        <w:tc>
          <w:tcPr>
            <w:tcW w:type="dxa" w:w="4150"/>
            <w:shd w:fill="F2F2F2" w:val="clear"/>
            <w:tcMar>
              <w:top w:type="dxa" w:w="80"/>
              <w:left w:type="dxa" w:w="100"/>
              <w:bottom w:type="dxa" w:w="80"/>
              <w:right w:type="dxa" w:w="100"/>
            </w:tcMar>
          </w:tcPr>
          <w:p>
            <w:pPr>
              <w:jc w:val="left"/>
            </w:pPr>
            <w:r>
              <w:rPr>
                <w:b w:val="false"/>
                <w:bCs w:val="false"/>
                <w:color w:val="000000"/>
                <w:sz w:val="20"/>
                <w:szCs w:val="20"/>
              </w:rPr>
              <w:t xml:space="preserve">Reception &amp; Reintegration Centre</w:t>
            </w:r>
          </w:p>
        </w:tc>
        <w:tc>
          <w:tcPr>
            <w:tcW w:type="dxa" w:w="1800"/>
            <w:shd w:fill="F2F2F2" w:val="clear"/>
            <w:tcMar>
              <w:top w:type="dxa" w:w="80"/>
              <w:left w:type="dxa" w:w="100"/>
              <w:bottom w:type="dxa" w:w="80"/>
              <w:right w:type="dxa" w:w="100"/>
            </w:tcMar>
          </w:tcPr>
          <w:p>
            <w:pPr>
              <w:jc w:val="center"/>
            </w:pPr>
            <w:r>
              <w:rPr>
                <w:b w:val="false"/>
                <w:bCs w:val="false"/>
                <w:color w:val="000000"/>
                <w:sz w:val="20"/>
                <w:szCs w:val="20"/>
              </w:rPr>
              <w:t xml:space="preserve">USD 7.0M</w:t>
            </w:r>
          </w:p>
        </w:tc>
        <w:tc>
          <w:tcPr>
            <w:tcW w:type="dxa" w:w="1900"/>
            <w:shd w:fill="F2F2F2" w:val="clear"/>
            <w:tcMar>
              <w:top w:type="dxa" w:w="80"/>
              <w:left w:type="dxa" w:w="100"/>
              <w:bottom w:type="dxa" w:w="80"/>
              <w:right w:type="dxa" w:w="100"/>
            </w:tcMar>
          </w:tcPr>
          <w:p>
            <w:pPr>
              <w:jc w:val="center"/>
            </w:pPr>
            <w:r>
              <w:rPr>
                <w:b w:val="false"/>
                <w:bCs w:val="false"/>
                <w:color w:val="000000"/>
                <w:sz w:val="20"/>
                <w:szCs w:val="20"/>
              </w:rPr>
              <w:t xml:space="preserve">6</w:t>
            </w:r>
          </w:p>
        </w:tc>
      </w:tr>
    </w:tbl>
    <w:p>
      <w:pPr>
        <w:spacing w:after="0" w:before="150"/>
      </w:pPr>
      <w:r>
        <w:rPr>
          <w:i/>
          <w:iCs/>
          <w:color w:val="595959"/>
          <w:sz w:val="18"/>
          <w:szCs w:val="18"/>
        </w:rPr>
        <w:t xml:space="preserve">Portfolio total: USD 380.0 million across six priority projects. Delivery Priority reflects the implementation sequence used in the Portfolio document, the Delivery Framework, and the reordered poster deck. Investment Rank reflects size alone and is unchanged from the original ranking.</w:t>
      </w:r>
    </w:p>
    <w:p>
      <w:pPr>
        <w:pStyle w:val="Heading1"/>
        <w:spacing w:after="150" w:before="300"/>
      </w:pPr>
      <w:r>
        <w:rPr>
          <w:b/>
          <w:bCs/>
          <w:color w:val="1F3864"/>
          <w:sz w:val="28"/>
          <w:szCs w:val="28"/>
        </w:rPr>
        <w:t xml:space="preserve">5. Remaining Open Item (Not Part of This Fix)</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single" w:color="C00000" w:sz="8"/>
              <w:left w:val="single" w:color="C00000" w:sz="8"/>
              <w:bottom w:val="single" w:color="C00000" w:sz="8"/>
              <w:right w:val="single" w:color="C00000" w:sz="8"/>
            </w:tcBorders>
            <w:shd w:fill="FDE9E9" w:val="clear"/>
            <w:tcMar>
              <w:top w:type="dxa" w:w="150"/>
              <w:left w:type="dxa" w:w="200"/>
              <w:bottom w:type="dxa" w:w="150"/>
              <w:right w:type="dxa" w:w="200"/>
            </w:tcMar>
          </w:tcPr>
          <w:p>
            <w:pPr>
              <w:spacing w:after="60"/>
            </w:pPr>
            <w:r>
              <w:rPr>
                <w:b/>
                <w:bCs/>
                <w:color w:val="C00000"/>
                <w:sz w:val="20"/>
                <w:szCs w:val="20"/>
              </w:rPr>
              <w:t xml:space="preserve">STILL OPEN: Portfolio-wide readiness-stage contradiction</w:t>
            </w:r>
          </w:p>
          <w:p>
            <w:pPr>
              <w:spacing w:after="0"/>
            </w:pPr>
            <w:r>
              <w:rPr>
                <w:i/>
                <w:iCs/>
                <w:sz w:val="19"/>
                <w:szCs w:val="19"/>
              </w:rPr>
              <w:t xml:space="preserve">The Master Report's Bankability Assessment Matrix (§6.4.1) states overall portfolio readiness is “Stage 2 (Pre-Feasibility)”, while the Conclusion (§11.3) states “all six projects are at Stage 1 (Concept)”. Every per-project source reviewed — the Portfolio document, the poster deck and the Tracker — consistently uses Stage 1 for all six projects, which is consistent evidence in the same direction as the road-project fix above. This brief does not resolve it, since it was not one of the two items requested for this revision; it is flagged here so it is not lost.</w:t>
            </w:r>
          </w:p>
        </w:tc>
      </w:tr>
    </w:tbl>
    <w:p>
      <w:pPr>
        <w:spacing w:after="0" w:before="200"/>
      </w:pPr>
      <w:r>
        <w:rPr>
          <w:i/>
          <w:iCs/>
          <w:color w:val="595959"/>
        </w:rPr>
        <w:t xml:space="preserve">Recommended next step: apply the same treatment as Section 3 — adopt Stage 1 (Concept) as authoritative for all six projects, on the strength of §11.3 and the consistent per-project evidence, and correct §6.4.1 to match.</w:t>
      </w:r>
    </w:p>
    <w:p>
      <w:pPr>
        <w:spacing w:before="400"/>
      </w:pPr>
      <w:r>
        <w:rPr>
          <w:i/>
          <w:iCs/>
          <w:color w:val="595959"/>
          <w:sz w:val="16"/>
          <w:szCs w:val="16"/>
        </w:rPr>
        <w:t xml:space="preserve">Sources: Tog-Wajaale City Urban Expansion Plan Report · Tog-Wajaale Investment Posters (EACC Gallery Walk) · EACC Corridor Delivery Framework · TOG-WAJAALE EACC Priority Investment Project Master Report · TWCA Road Project Decision Memo (26 Aug 2026) · TWCA EACC Project Portfolio, 2026 edition · TogWajaale Portfolio Tracker (Consistency Flags tab)</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2026-08-26T00:01:18.063Z</dcterms:created>
  <dcterms:modified xsi:type="dcterms:W3CDTF">2026-08-26T00:01:18.076Z</dcterms:modified>
</cp:coreProperties>
</file>

<file path=docProps/custom.xml><?xml version="1.0" encoding="utf-8"?>
<Properties xmlns="http://schemas.openxmlformats.org/officeDocument/2006/custom-properties" xmlns:vt="http://schemas.openxmlformats.org/officeDocument/2006/docPropsVTypes"/>
</file>